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8"/>
        </w:rPr>
      </w:pPr>
      <w:r>
        <w:rPr>
          <w:rFonts w:hint="eastAsia"/>
          <w:sz w:val="28"/>
        </w:rPr>
        <w:t>人文社科精选 人大“复印报刊资料”系列数据库</w:t>
      </w:r>
    </w:p>
    <w:p>
      <w:pPr>
        <w:jc w:val="center"/>
        <w:rPr>
          <w:sz w:val="28"/>
        </w:rPr>
      </w:pPr>
      <w:r>
        <w:rPr>
          <w:rFonts w:hint="eastAsia"/>
          <w:sz w:val="28"/>
        </w:rPr>
        <w:t>使用指南</w:t>
      </w:r>
    </w:p>
    <w:p>
      <w:pPr>
        <w:pStyle w:val="7"/>
        <w:numPr>
          <w:ilvl w:val="0"/>
          <w:numId w:val="1"/>
        </w:numPr>
        <w:ind w:firstLineChars="0"/>
        <w:rPr>
          <w:b/>
        </w:rPr>
      </w:pPr>
      <w:r>
        <w:rPr>
          <w:rFonts w:hint="eastAsia"/>
          <w:b/>
        </w:rPr>
        <w:t>访问地址</w:t>
      </w:r>
    </w:p>
    <w:p>
      <w:pPr>
        <w:pStyle w:val="7"/>
        <w:ind w:left="720" w:firstLine="0" w:firstLineChars="0"/>
        <w:rPr>
          <w:b/>
        </w:rPr>
      </w:pPr>
      <w:r>
        <w:rPr>
          <w:rFonts w:hint="eastAsia"/>
          <w:b/>
        </w:rPr>
        <w:t>在线访问：</w:t>
      </w:r>
      <w:r>
        <w:fldChar w:fldCharType="begin"/>
      </w:r>
      <w:r>
        <w:instrText xml:space="preserve"> HYPERLINK "http://ipub.exuezhe.com/index.html" </w:instrText>
      </w:r>
      <w:r>
        <w:fldChar w:fldCharType="separate"/>
      </w:r>
      <w:r>
        <w:rPr>
          <w:rStyle w:val="5"/>
          <w:rFonts w:hint="eastAsia"/>
          <w:b/>
        </w:rPr>
        <w:t>http://ipub.exuezhe.com/index.html</w:t>
      </w:r>
      <w:r>
        <w:rPr>
          <w:rStyle w:val="5"/>
          <w:rFonts w:hint="eastAsia"/>
          <w:b/>
        </w:rPr>
        <w:fldChar w:fldCharType="end"/>
      </w:r>
      <w:r>
        <w:rPr>
          <w:rFonts w:hint="eastAsia"/>
          <w:b/>
        </w:rPr>
        <w:t xml:space="preserve"> </w:t>
      </w:r>
    </w:p>
    <w:p>
      <w:pPr>
        <w:ind w:firstLine="773" w:firstLineChars="321"/>
      </w:pPr>
      <w:r>
        <w:rPr>
          <w:rFonts w:hint="eastAsia"/>
          <w:b/>
        </w:rPr>
        <w:t>校园网内自动登录</w:t>
      </w:r>
      <w:r>
        <w:rPr>
          <w:rFonts w:hint="eastAsia"/>
          <w:b/>
          <w:lang w:val="en-US" w:eastAsia="zh-CN"/>
        </w:rPr>
        <w:t>,</w:t>
      </w:r>
      <w:r>
        <w:rPr>
          <w:rFonts w:hint="eastAsia"/>
          <w:b/>
        </w:rPr>
        <w:t>不需要用户名和密码</w:t>
      </w:r>
      <w:r>
        <w:rPr>
          <w:rFonts w:hint="eastAsia"/>
          <w:b/>
          <w:lang w:val="en-US" w:eastAsia="zh-CN"/>
        </w:rPr>
        <w:t>.</w:t>
      </w:r>
    </w:p>
    <w:p>
      <w:pPr>
        <w:pStyle w:val="7"/>
        <w:numPr>
          <w:ilvl w:val="0"/>
          <w:numId w:val="1"/>
        </w:numPr>
        <w:spacing w:before="211" w:beforeLines="50"/>
        <w:ind w:left="723" w:hanging="723" w:hangingChars="300"/>
        <w:rPr>
          <w:b/>
        </w:rPr>
      </w:pPr>
      <w:r>
        <w:rPr>
          <w:rFonts w:hint="eastAsia"/>
          <w:b/>
        </w:rPr>
        <w:t>人大“复印报刊资料”简介</w:t>
      </w:r>
    </w:p>
    <w:p>
      <w:pPr>
        <w:pStyle w:val="7"/>
        <w:ind w:left="284" w:firstLine="425" w:firstLineChars="177"/>
      </w:pPr>
      <w:r>
        <w:rPr>
          <w:rFonts w:hint="eastAsia"/>
        </w:rPr>
        <w:t>人大“复印报刊资料”期刊出版是中国人民大学书报资料中心的核心业务。半个世纪以来，书报资料中心坚持以繁荣我国哲学社会科学为己任，“精选千家报刊，荟萃中华学术”，编辑出版了大量享誉海内外的高质量、高水平的学术信息资料，被誉为“中华学术的窗口”、“中外文化交流的桥梁”。</w:t>
      </w:r>
    </w:p>
    <w:p>
      <w:pPr>
        <w:pStyle w:val="7"/>
        <w:ind w:left="284" w:firstLine="425" w:firstLineChars="177"/>
        <w:rPr>
          <w:rFonts w:ascii="宋体" w:hAnsi="宋体"/>
        </w:rPr>
      </w:pPr>
      <w:r>
        <w:rPr>
          <w:rFonts w:hint="eastAsia"/>
        </w:rPr>
        <w:t>人大“复印报刊资料”精选公开发行报刊上的重要论文，所选文章均须符合以下原则：内容具有较高的学术价值、应用价值，含有新观点、新材料、新方法或具有一定的代表性，能及时反映学术研究或实际工作部门的现状、成就及其新发展动向。</w:t>
      </w:r>
    </w:p>
    <w:p>
      <w:pPr>
        <w:pStyle w:val="7"/>
        <w:ind w:left="284" w:firstLine="425" w:firstLineChars="177"/>
      </w:pPr>
      <w:r>
        <w:rPr>
          <w:rFonts w:hint="eastAsia"/>
        </w:rPr>
        <w:t>作为国内人文社科学界的权威品牌，“复印报刊资料”的转载率被学界和期刊界普遍视为人文社科期刊领域中一个客观公正的评价标准。</w:t>
      </w:r>
    </w:p>
    <w:p>
      <w:pPr>
        <w:pStyle w:val="7"/>
        <w:numPr>
          <w:ilvl w:val="0"/>
          <w:numId w:val="2"/>
        </w:numPr>
        <w:ind w:firstLineChars="0"/>
        <w:rPr>
          <w:b/>
        </w:rPr>
      </w:pPr>
      <w:r>
        <w:rPr>
          <w:rFonts w:hint="eastAsia"/>
          <w:b/>
        </w:rPr>
        <w:t>人大“复印报刊资料”系列数据库类别</w:t>
      </w:r>
    </w:p>
    <w:p>
      <w:pPr>
        <w:pStyle w:val="7"/>
        <w:ind w:left="1189" w:firstLine="0" w:firstLineChars="0"/>
      </w:pPr>
      <w:r>
        <w:drawing>
          <wp:inline distT="0" distB="0" distL="0" distR="0">
            <wp:extent cx="3345180" cy="341566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344079" cy="3414853"/>
                    </a:xfrm>
                    <a:prstGeom prst="rect">
                      <a:avLst/>
                    </a:prstGeom>
                    <a:noFill/>
                    <a:ln>
                      <a:noFill/>
                    </a:ln>
                  </pic:spPr>
                </pic:pic>
              </a:graphicData>
            </a:graphic>
          </wp:inline>
        </w:drawing>
      </w:r>
    </w:p>
    <w:p>
      <w:pPr>
        <w:pStyle w:val="7"/>
        <w:numPr>
          <w:ilvl w:val="0"/>
          <w:numId w:val="2"/>
        </w:numPr>
        <w:ind w:firstLineChars="0"/>
        <w:rPr>
          <w:b/>
        </w:rPr>
      </w:pPr>
      <w:r>
        <w:rPr>
          <w:rFonts w:hint="eastAsia"/>
          <w:b/>
        </w:rPr>
        <w:t>人大“复印报刊资料”数据库特色</w:t>
      </w:r>
    </w:p>
    <w:p>
      <w:pPr>
        <w:pStyle w:val="7"/>
        <w:ind w:left="284" w:firstLine="425" w:firstLineChars="177"/>
      </w:pPr>
      <w:r>
        <w:rPr>
          <w:rFonts w:hint="eastAsia"/>
        </w:rPr>
        <w:t>人大“复印报刊资料”系列数据库内容丰富，既有经过专家、学者及学科带头人以全视野学术目光遴选、浓缩而成的学术精品全文库，也有提供人文社会科学各学科全部研究信息的索引库，此外还有针对学术热点和读者需求研发的专题研究库等，“精选”与“全面”完美结合，形成了涵盖面广、分类精当、兼收并蓄的完备的社科信息数据库体系，具有重要思想文化和科学研究价值。</w:t>
      </w:r>
    </w:p>
    <w:p>
      <w:pPr>
        <w:pStyle w:val="7"/>
        <w:ind w:left="284" w:firstLine="425" w:firstLineChars="177"/>
      </w:pPr>
      <w:r>
        <w:rPr>
          <w:rFonts w:hint="eastAsia"/>
        </w:rPr>
        <w:t>并且，人大“复印报刊资料”数据库系统操作简单易用，无需安装任何软件，使用IE浏览器就可以查找、阅读文献资料。</w:t>
      </w:r>
    </w:p>
    <w:p>
      <w:pPr>
        <w:pStyle w:val="7"/>
        <w:ind w:left="284" w:firstLine="425" w:firstLineChars="177"/>
      </w:pPr>
    </w:p>
    <w:p>
      <w:pPr>
        <w:pStyle w:val="7"/>
        <w:numPr>
          <w:ilvl w:val="0"/>
          <w:numId w:val="3"/>
        </w:numPr>
        <w:ind w:firstLineChars="0"/>
      </w:pPr>
      <w:r>
        <w:rPr>
          <w:rStyle w:val="4"/>
          <w:rFonts w:ascii="Verdana" w:hAnsi="Verdana"/>
          <w:highlight w:val="lightGray"/>
        </w:rPr>
        <w:t xml:space="preserve"> “复印报刊资料”全文数据库</w:t>
      </w:r>
    </w:p>
    <w:p>
      <w:pPr>
        <w:pStyle w:val="7"/>
        <w:ind w:left="284" w:firstLine="425" w:firstLineChars="177"/>
      </w:pPr>
      <w:r>
        <w:rPr>
          <w:rFonts w:hint="eastAsia"/>
        </w:rPr>
        <w:t>以专家和学者的眼光，依循严谨的学术标准，在全面的基础上对海量学术信息进行精心整理、加工、分类、编辑，去芜存菁、优中选优，提供高质量的学术信息产品。</w:t>
      </w:r>
    </w:p>
    <w:p>
      <w:pPr>
        <w:pStyle w:val="7"/>
        <w:ind w:left="284" w:firstLine="425" w:firstLineChars="177"/>
      </w:pPr>
      <w:r>
        <w:rPr>
          <w:rFonts w:hint="eastAsia"/>
        </w:rPr>
        <w:t>本数据库囊括了人文社会科学领域中的各个学科，包括政治学与社会学类、哲学类、法律类、经济学与经济管理类、教育类、文学与艺术类、历史学类、文化信息传播类以及其他类。每个类别分别涵盖了相关专题的期刊文章。</w:t>
      </w:r>
    </w:p>
    <w:p>
      <w:pPr>
        <w:pStyle w:val="7"/>
        <w:ind w:left="284" w:firstLine="425" w:firstLineChars="177"/>
      </w:pPr>
      <w:r>
        <w:rPr>
          <w:rFonts w:hint="eastAsia"/>
        </w:rPr>
        <w:t>收录年限：1995年至今，部分专题已回溯到创刊年。</w:t>
      </w:r>
    </w:p>
    <w:p>
      <w:pPr>
        <w:pStyle w:val="7"/>
        <w:ind w:left="284" w:firstLine="425" w:firstLineChars="177"/>
      </w:pPr>
    </w:p>
    <w:p>
      <w:pPr>
        <w:pStyle w:val="7"/>
        <w:numPr>
          <w:ilvl w:val="0"/>
          <w:numId w:val="3"/>
        </w:numPr>
        <w:ind w:firstLineChars="0"/>
      </w:pPr>
      <w:r>
        <w:rPr>
          <w:rFonts w:ascii="Verdana" w:hAnsi="Verdana" w:eastAsia="宋体" w:cs="宋体"/>
          <w:b/>
          <w:bCs/>
          <w:kern w:val="0"/>
          <w:highlight w:val="lightGray"/>
        </w:rPr>
        <w:t>数字期刊</w:t>
      </w:r>
      <w:r>
        <w:rPr>
          <w:rFonts w:hint="eastAsia" w:ascii="Verdana" w:hAnsi="Verdana" w:eastAsia="宋体" w:cs="宋体"/>
          <w:b/>
          <w:bCs/>
          <w:kern w:val="0"/>
          <w:highlight w:val="lightGray"/>
        </w:rPr>
        <w:t>库</w:t>
      </w:r>
    </w:p>
    <w:p>
      <w:pPr>
        <w:pStyle w:val="7"/>
        <w:ind w:left="284" w:firstLine="425" w:firstLineChars="177"/>
      </w:pPr>
      <w:r>
        <w:rPr>
          <w:rFonts w:hint="eastAsia"/>
        </w:rPr>
        <w:t>本数据库以原刊原版方式作内容呈现，年份与期数同时展现，便于具体刊物及内容的查看，同时提供多种形式的综合检索。按刊物类别，数字期刊库分为复印报刊资料系列、原发刊系列、文摘系列、及原发电子期刊系列。</w:t>
      </w:r>
    </w:p>
    <w:p>
      <w:pPr>
        <w:pStyle w:val="7"/>
        <w:ind w:left="284" w:firstLine="425" w:firstLineChars="177"/>
      </w:pPr>
      <w:r>
        <w:rPr>
          <w:rFonts w:hint="eastAsia"/>
        </w:rPr>
        <w:t>收录年限：1995年至今，部分专题已回溯到创刊年。</w:t>
      </w:r>
    </w:p>
    <w:p>
      <w:pPr>
        <w:pStyle w:val="7"/>
        <w:ind w:left="284" w:firstLine="425" w:firstLineChars="177"/>
      </w:pPr>
    </w:p>
    <w:p>
      <w:pPr>
        <w:pStyle w:val="7"/>
        <w:numPr>
          <w:ilvl w:val="0"/>
          <w:numId w:val="3"/>
        </w:numPr>
        <w:ind w:firstLineChars="0"/>
      </w:pPr>
      <w:r>
        <w:rPr>
          <w:rFonts w:hint="eastAsia" w:ascii="Verdana" w:hAnsi="Verdana" w:eastAsia="宋体" w:cs="宋体"/>
          <w:b/>
          <w:bCs/>
          <w:kern w:val="0"/>
          <w:highlight w:val="lightGray"/>
        </w:rPr>
        <w:t>中文</w:t>
      </w:r>
      <w:r>
        <w:rPr>
          <w:rFonts w:ascii="Verdana" w:hAnsi="Verdana" w:eastAsia="宋体" w:cs="宋体"/>
          <w:b/>
          <w:bCs/>
          <w:kern w:val="0"/>
          <w:highlight w:val="lightGray"/>
        </w:rPr>
        <w:t>报刊资料索引数据库</w:t>
      </w:r>
    </w:p>
    <w:p>
      <w:pPr>
        <w:pStyle w:val="7"/>
        <w:ind w:left="284" w:firstLine="425" w:firstLineChars="177"/>
      </w:pPr>
      <w:r>
        <w:rPr>
          <w:rFonts w:hint="eastAsia"/>
        </w:rPr>
        <w:t>本数据库汇集了自1978 年至今的国内公开发行人文社科报刊上的全部题录。按专题和学科体系分为九大类。本数据库在报刊文献从无序到有序的转化以及促进报刊文献资源的开发与利用方面发挥着关键性的作用，它可以让用户及时了解本专业的研究状况和热点问题，被称为“全国四大索引”之一。</w:t>
      </w:r>
    </w:p>
    <w:p>
      <w:pPr>
        <w:pStyle w:val="7"/>
        <w:ind w:left="284" w:firstLine="425" w:firstLineChars="177"/>
      </w:pPr>
      <w:r>
        <w:rPr>
          <w:rFonts w:hint="eastAsia"/>
        </w:rPr>
        <w:t>收录年限：1978 年至今。</w:t>
      </w:r>
    </w:p>
    <w:p>
      <w:pPr>
        <w:pStyle w:val="7"/>
        <w:ind w:left="284" w:firstLine="425" w:firstLineChars="177"/>
      </w:pPr>
    </w:p>
    <w:p>
      <w:pPr>
        <w:pStyle w:val="7"/>
        <w:numPr>
          <w:ilvl w:val="0"/>
          <w:numId w:val="3"/>
        </w:numPr>
        <w:ind w:firstLineChars="0"/>
      </w:pPr>
      <w:r>
        <w:rPr>
          <w:rFonts w:ascii="Verdana" w:hAnsi="Verdana" w:eastAsia="宋体" w:cs="宋体"/>
          <w:b/>
          <w:bCs/>
          <w:kern w:val="0"/>
          <w:highlight w:val="lightGray"/>
        </w:rPr>
        <w:t>中文报刊资料摘要数据库</w:t>
      </w:r>
    </w:p>
    <w:p>
      <w:pPr>
        <w:pStyle w:val="7"/>
        <w:ind w:left="284" w:firstLine="425" w:firstLineChars="177"/>
      </w:pPr>
      <w:r>
        <w:rPr>
          <w:rFonts w:hint="eastAsia"/>
        </w:rPr>
        <w:t>本数据库是人文社科文献要点摘编形式的数据库。该数据库简明扼要地摘写文章的论点、论据和重要材料，记录科研成果，反映学术动态、积累有关数据。数据量大，涵盖范围广，便于用户了解与自己的课题相关的研究状况，把握本领域的研究动态。</w:t>
      </w:r>
    </w:p>
    <w:p>
      <w:pPr>
        <w:pStyle w:val="7"/>
        <w:ind w:left="284" w:firstLine="425" w:firstLineChars="177"/>
      </w:pPr>
      <w:r>
        <w:rPr>
          <w:rFonts w:hint="eastAsia"/>
        </w:rPr>
        <w:t>收录年限：1993 年至今。</w:t>
      </w:r>
    </w:p>
    <w:p>
      <w:pPr>
        <w:pStyle w:val="7"/>
        <w:ind w:left="284" w:firstLine="425" w:firstLineChars="177"/>
      </w:pPr>
    </w:p>
    <w:p>
      <w:pPr>
        <w:pStyle w:val="7"/>
        <w:numPr>
          <w:ilvl w:val="0"/>
          <w:numId w:val="3"/>
        </w:numPr>
        <w:ind w:firstLineChars="0"/>
      </w:pPr>
      <w:r>
        <w:rPr>
          <w:rStyle w:val="4"/>
          <w:rFonts w:ascii="Verdana" w:hAnsi="Verdana"/>
          <w:highlight w:val="lightGray"/>
        </w:rPr>
        <w:t>“复印报刊资料”专题目录索引数据库</w:t>
      </w:r>
    </w:p>
    <w:p>
      <w:pPr>
        <w:pStyle w:val="7"/>
        <w:ind w:left="284" w:firstLine="425" w:firstLineChars="177"/>
      </w:pPr>
      <w:r>
        <w:rPr>
          <w:rFonts w:hint="eastAsia"/>
        </w:rPr>
        <w:t>本数据库汇集了1978 年至今“复印报刊资料”系列期刊的全部目录，通过作者、刊号、篇名等关键词就能获取准确的信息，其功能大大超过传统人工索引，是“复印报刊资料”整体数据收藏和应用的重要导向。</w:t>
      </w:r>
    </w:p>
    <w:p>
      <w:pPr>
        <w:pStyle w:val="7"/>
        <w:ind w:left="284" w:firstLine="425" w:firstLineChars="177"/>
      </w:pPr>
      <w:r>
        <w:rPr>
          <w:rFonts w:hint="eastAsia"/>
        </w:rPr>
        <w:t>收录年限：1978 年至今。</w:t>
      </w:r>
    </w:p>
    <w:p>
      <w:pPr>
        <w:pStyle w:val="7"/>
        <w:ind w:left="284" w:firstLine="425" w:firstLineChars="177"/>
      </w:pPr>
    </w:p>
    <w:p>
      <w:pPr>
        <w:pStyle w:val="7"/>
        <w:numPr>
          <w:ilvl w:val="0"/>
          <w:numId w:val="3"/>
        </w:numPr>
        <w:ind w:firstLineChars="0"/>
      </w:pPr>
      <w:r>
        <w:rPr>
          <w:rFonts w:ascii="Verdana" w:hAnsi="Verdana" w:eastAsia="宋体" w:cs="宋体"/>
          <w:b/>
          <w:bCs/>
          <w:kern w:val="0"/>
          <w:highlight w:val="lightGray"/>
        </w:rPr>
        <w:t>专题研究数据库</w:t>
      </w:r>
    </w:p>
    <w:p>
      <w:pPr>
        <w:pStyle w:val="7"/>
        <w:ind w:left="284" w:firstLine="425" w:firstLineChars="177"/>
      </w:pPr>
      <w:r>
        <w:rPr>
          <w:rFonts w:hint="eastAsia"/>
        </w:rPr>
        <w:t>本数据库结合从事相关行业的实际工作者所需，选题遵循专题和实用原则，内容涵盖人文社会科学领域中的理论前沿和社会热点问题,体现了“特色”与“精选”的完美结合。</w:t>
      </w:r>
    </w:p>
    <w:p>
      <w:pPr>
        <w:pStyle w:val="7"/>
        <w:ind w:left="284" w:firstLine="425" w:firstLineChars="177"/>
      </w:pPr>
      <w:r>
        <w:rPr>
          <w:rFonts w:hint="eastAsia"/>
        </w:rPr>
        <w:t>各专题库均根据学科内涵，推送关键词以便个人搜索时选用，方便使用者更精确把握相关专题发展的主脉络。</w:t>
      </w:r>
    </w:p>
    <w:p>
      <w:pPr>
        <w:pStyle w:val="7"/>
        <w:ind w:left="284" w:firstLine="425" w:firstLineChars="177"/>
      </w:pPr>
      <w:r>
        <w:rPr>
          <w:rFonts w:hint="eastAsia"/>
        </w:rPr>
        <w:t>收录年限：1995年至今。</w:t>
      </w:r>
    </w:p>
    <w:p>
      <w:pPr>
        <w:pStyle w:val="7"/>
        <w:ind w:left="284" w:firstLine="425" w:firstLineChars="177"/>
      </w:pPr>
      <w:r>
        <w:rPr>
          <w:rFonts w:hint="eastAsia"/>
        </w:rPr>
        <w:t>该数据库包括以下24个专题子库</w:t>
      </w:r>
    </w:p>
    <w:tbl>
      <w:tblPr>
        <w:tblStyle w:val="6"/>
        <w:tblW w:w="6749" w:type="dxa"/>
        <w:tblInd w:w="817" w:type="dxa"/>
        <w:tblLayout w:type="fixed"/>
        <w:tblCellMar>
          <w:top w:w="0" w:type="dxa"/>
          <w:left w:w="108" w:type="dxa"/>
          <w:bottom w:w="0" w:type="dxa"/>
          <w:right w:w="108" w:type="dxa"/>
        </w:tblCellMar>
      </w:tblPr>
      <w:tblGrid>
        <w:gridCol w:w="426"/>
        <w:gridCol w:w="2708"/>
        <w:gridCol w:w="426"/>
        <w:gridCol w:w="3189"/>
      </w:tblGrid>
      <w:tr>
        <w:tblPrEx>
          <w:tblLayout w:type="fixed"/>
          <w:tblCellMar>
            <w:top w:w="0" w:type="dxa"/>
            <w:left w:w="108" w:type="dxa"/>
            <w:bottom w:w="0" w:type="dxa"/>
            <w:right w:w="108" w:type="dxa"/>
          </w:tblCellMar>
        </w:tblPrEx>
        <w:trPr>
          <w:trHeight w:val="280" w:hRule="atLeast"/>
        </w:trPr>
        <w:tc>
          <w:tcPr>
            <w:tcW w:w="426" w:type="dxa"/>
            <w:tcBorders>
              <w:top w:val="single" w:color="auto" w:sz="4" w:space="0"/>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w:t>
            </w:r>
          </w:p>
        </w:tc>
        <w:tc>
          <w:tcPr>
            <w:tcW w:w="2708"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中国特色社会主义理论</w:t>
            </w:r>
          </w:p>
        </w:tc>
        <w:tc>
          <w:tcPr>
            <w:tcW w:w="426" w:type="dxa"/>
            <w:tcBorders>
              <w:top w:val="single" w:color="auto" w:sz="4" w:space="0"/>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w:t>
            </w:r>
          </w:p>
        </w:tc>
        <w:tc>
          <w:tcPr>
            <w:tcW w:w="3189"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中国共产党</w:t>
            </w:r>
          </w:p>
        </w:tc>
      </w:tr>
      <w:tr>
        <w:tblPrEx>
          <w:tblLayout w:type="fixed"/>
          <w:tblCellMar>
            <w:top w:w="0" w:type="dxa"/>
            <w:left w:w="108" w:type="dxa"/>
            <w:bottom w:w="0" w:type="dxa"/>
            <w:right w:w="108" w:type="dxa"/>
          </w:tblCellMar>
        </w:tblPrEx>
        <w:trPr>
          <w:trHeight w:val="280" w:hRule="atLeast"/>
        </w:trPr>
        <w:tc>
          <w:tcPr>
            <w:tcW w:w="426" w:type="dxa"/>
            <w:tcBorders>
              <w:top w:val="nil"/>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3</w:t>
            </w:r>
          </w:p>
        </w:tc>
        <w:tc>
          <w:tcPr>
            <w:tcW w:w="2708"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精神文明建设</w:t>
            </w:r>
          </w:p>
        </w:tc>
        <w:tc>
          <w:tcPr>
            <w:tcW w:w="426" w:type="dxa"/>
            <w:tcBorders>
              <w:top w:val="nil"/>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4</w:t>
            </w:r>
          </w:p>
        </w:tc>
        <w:tc>
          <w:tcPr>
            <w:tcW w:w="318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体制改革</w:t>
            </w:r>
          </w:p>
        </w:tc>
      </w:tr>
      <w:tr>
        <w:tblPrEx>
          <w:tblLayout w:type="fixed"/>
          <w:tblCellMar>
            <w:top w:w="0" w:type="dxa"/>
            <w:left w:w="108" w:type="dxa"/>
            <w:bottom w:w="0" w:type="dxa"/>
            <w:right w:w="108" w:type="dxa"/>
          </w:tblCellMar>
        </w:tblPrEx>
        <w:trPr>
          <w:trHeight w:val="280" w:hRule="atLeast"/>
        </w:trPr>
        <w:tc>
          <w:tcPr>
            <w:tcW w:w="426" w:type="dxa"/>
            <w:tcBorders>
              <w:top w:val="nil"/>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5</w:t>
            </w:r>
          </w:p>
        </w:tc>
        <w:tc>
          <w:tcPr>
            <w:tcW w:w="2708"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中国政治问题研究</w:t>
            </w:r>
          </w:p>
        </w:tc>
        <w:tc>
          <w:tcPr>
            <w:tcW w:w="426" w:type="dxa"/>
            <w:tcBorders>
              <w:top w:val="nil"/>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6</w:t>
            </w:r>
          </w:p>
        </w:tc>
        <w:tc>
          <w:tcPr>
            <w:tcW w:w="318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中国立法研究</w:t>
            </w:r>
          </w:p>
        </w:tc>
      </w:tr>
      <w:tr>
        <w:tblPrEx>
          <w:tblLayout w:type="fixed"/>
          <w:tblCellMar>
            <w:top w:w="0" w:type="dxa"/>
            <w:left w:w="108" w:type="dxa"/>
            <w:bottom w:w="0" w:type="dxa"/>
            <w:right w:w="108" w:type="dxa"/>
          </w:tblCellMar>
        </w:tblPrEx>
        <w:trPr>
          <w:trHeight w:val="280" w:hRule="atLeast"/>
        </w:trPr>
        <w:tc>
          <w:tcPr>
            <w:tcW w:w="426" w:type="dxa"/>
            <w:tcBorders>
              <w:top w:val="nil"/>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7</w:t>
            </w:r>
          </w:p>
        </w:tc>
        <w:tc>
          <w:tcPr>
            <w:tcW w:w="2708"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中国司法研究</w:t>
            </w:r>
          </w:p>
        </w:tc>
        <w:tc>
          <w:tcPr>
            <w:tcW w:w="426" w:type="dxa"/>
            <w:tcBorders>
              <w:top w:val="nil"/>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8</w:t>
            </w:r>
          </w:p>
        </w:tc>
        <w:tc>
          <w:tcPr>
            <w:tcW w:w="318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中国社会问题研究</w:t>
            </w:r>
          </w:p>
        </w:tc>
      </w:tr>
      <w:tr>
        <w:tblPrEx>
          <w:tblLayout w:type="fixed"/>
          <w:tblCellMar>
            <w:top w:w="0" w:type="dxa"/>
            <w:left w:w="108" w:type="dxa"/>
            <w:bottom w:w="0" w:type="dxa"/>
            <w:right w:w="108" w:type="dxa"/>
          </w:tblCellMar>
        </w:tblPrEx>
        <w:trPr>
          <w:trHeight w:val="280" w:hRule="atLeast"/>
        </w:trPr>
        <w:tc>
          <w:tcPr>
            <w:tcW w:w="426" w:type="dxa"/>
            <w:tcBorders>
              <w:top w:val="nil"/>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9</w:t>
            </w:r>
          </w:p>
        </w:tc>
        <w:tc>
          <w:tcPr>
            <w:tcW w:w="2708"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中国民族问题研究</w:t>
            </w:r>
          </w:p>
        </w:tc>
        <w:tc>
          <w:tcPr>
            <w:tcW w:w="426" w:type="dxa"/>
            <w:tcBorders>
              <w:top w:val="nil"/>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10</w:t>
            </w:r>
          </w:p>
        </w:tc>
        <w:tc>
          <w:tcPr>
            <w:tcW w:w="318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中国妇女问题研究</w:t>
            </w:r>
          </w:p>
        </w:tc>
      </w:tr>
      <w:tr>
        <w:tblPrEx>
          <w:tblLayout w:type="fixed"/>
          <w:tblCellMar>
            <w:top w:w="0" w:type="dxa"/>
            <w:left w:w="108" w:type="dxa"/>
            <w:bottom w:w="0" w:type="dxa"/>
            <w:right w:w="108" w:type="dxa"/>
          </w:tblCellMar>
        </w:tblPrEx>
        <w:trPr>
          <w:trHeight w:val="280" w:hRule="atLeast"/>
        </w:trPr>
        <w:tc>
          <w:tcPr>
            <w:tcW w:w="426" w:type="dxa"/>
            <w:tcBorders>
              <w:top w:val="nil"/>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11</w:t>
            </w:r>
          </w:p>
        </w:tc>
        <w:tc>
          <w:tcPr>
            <w:tcW w:w="2708"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中国青少年问题研究</w:t>
            </w:r>
          </w:p>
        </w:tc>
        <w:tc>
          <w:tcPr>
            <w:tcW w:w="426" w:type="dxa"/>
            <w:tcBorders>
              <w:top w:val="nil"/>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12</w:t>
            </w:r>
          </w:p>
        </w:tc>
        <w:tc>
          <w:tcPr>
            <w:tcW w:w="318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儒学研究</w:t>
            </w:r>
          </w:p>
        </w:tc>
      </w:tr>
      <w:tr>
        <w:tblPrEx>
          <w:tblLayout w:type="fixed"/>
          <w:tblCellMar>
            <w:top w:w="0" w:type="dxa"/>
            <w:left w:w="108" w:type="dxa"/>
            <w:bottom w:w="0" w:type="dxa"/>
            <w:right w:w="108" w:type="dxa"/>
          </w:tblCellMar>
        </w:tblPrEx>
        <w:trPr>
          <w:trHeight w:val="280" w:hRule="atLeast"/>
        </w:trPr>
        <w:tc>
          <w:tcPr>
            <w:tcW w:w="426" w:type="dxa"/>
            <w:tcBorders>
              <w:top w:val="nil"/>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13</w:t>
            </w:r>
          </w:p>
        </w:tc>
        <w:tc>
          <w:tcPr>
            <w:tcW w:w="2708"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国学研究</w:t>
            </w:r>
          </w:p>
        </w:tc>
        <w:tc>
          <w:tcPr>
            <w:tcW w:w="426" w:type="dxa"/>
            <w:tcBorders>
              <w:top w:val="nil"/>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14</w:t>
            </w:r>
          </w:p>
        </w:tc>
        <w:tc>
          <w:tcPr>
            <w:tcW w:w="318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汉学研究</w:t>
            </w:r>
          </w:p>
        </w:tc>
      </w:tr>
      <w:tr>
        <w:tblPrEx>
          <w:tblLayout w:type="fixed"/>
          <w:tblCellMar>
            <w:top w:w="0" w:type="dxa"/>
            <w:left w:w="108" w:type="dxa"/>
            <w:bottom w:w="0" w:type="dxa"/>
            <w:right w:w="108" w:type="dxa"/>
          </w:tblCellMar>
        </w:tblPrEx>
        <w:trPr>
          <w:trHeight w:val="280" w:hRule="atLeast"/>
        </w:trPr>
        <w:tc>
          <w:tcPr>
            <w:tcW w:w="426" w:type="dxa"/>
            <w:tcBorders>
              <w:top w:val="nil"/>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15</w:t>
            </w:r>
          </w:p>
        </w:tc>
        <w:tc>
          <w:tcPr>
            <w:tcW w:w="2708"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敦煌学</w:t>
            </w:r>
          </w:p>
        </w:tc>
        <w:tc>
          <w:tcPr>
            <w:tcW w:w="426" w:type="dxa"/>
            <w:tcBorders>
              <w:top w:val="nil"/>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16</w:t>
            </w:r>
          </w:p>
        </w:tc>
        <w:tc>
          <w:tcPr>
            <w:tcW w:w="318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《红楼梦》研究</w:t>
            </w:r>
          </w:p>
        </w:tc>
      </w:tr>
      <w:tr>
        <w:tblPrEx>
          <w:tblLayout w:type="fixed"/>
          <w:tblCellMar>
            <w:top w:w="0" w:type="dxa"/>
            <w:left w:w="108" w:type="dxa"/>
            <w:bottom w:w="0" w:type="dxa"/>
            <w:right w:w="108" w:type="dxa"/>
          </w:tblCellMar>
        </w:tblPrEx>
        <w:trPr>
          <w:trHeight w:val="280" w:hRule="atLeast"/>
        </w:trPr>
        <w:tc>
          <w:tcPr>
            <w:tcW w:w="426" w:type="dxa"/>
            <w:tcBorders>
              <w:top w:val="nil"/>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17</w:t>
            </w:r>
          </w:p>
        </w:tc>
        <w:tc>
          <w:tcPr>
            <w:tcW w:w="2708"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鲁迅研究</w:t>
            </w:r>
          </w:p>
        </w:tc>
        <w:tc>
          <w:tcPr>
            <w:tcW w:w="426" w:type="dxa"/>
            <w:tcBorders>
              <w:top w:val="nil"/>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18</w:t>
            </w:r>
          </w:p>
        </w:tc>
        <w:tc>
          <w:tcPr>
            <w:tcW w:w="318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媒介经营与管理</w:t>
            </w:r>
          </w:p>
        </w:tc>
      </w:tr>
      <w:tr>
        <w:tblPrEx>
          <w:tblLayout w:type="fixed"/>
          <w:tblCellMar>
            <w:top w:w="0" w:type="dxa"/>
            <w:left w:w="108" w:type="dxa"/>
            <w:bottom w:w="0" w:type="dxa"/>
            <w:right w:w="108" w:type="dxa"/>
          </w:tblCellMar>
        </w:tblPrEx>
        <w:trPr>
          <w:trHeight w:val="280" w:hRule="atLeast"/>
        </w:trPr>
        <w:tc>
          <w:tcPr>
            <w:tcW w:w="426" w:type="dxa"/>
            <w:tcBorders>
              <w:top w:val="nil"/>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19</w:t>
            </w:r>
          </w:p>
        </w:tc>
        <w:tc>
          <w:tcPr>
            <w:tcW w:w="2708"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中小学新课程改革</w:t>
            </w:r>
          </w:p>
        </w:tc>
        <w:tc>
          <w:tcPr>
            <w:tcW w:w="426" w:type="dxa"/>
            <w:tcBorders>
              <w:top w:val="nil"/>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20</w:t>
            </w:r>
          </w:p>
        </w:tc>
        <w:tc>
          <w:tcPr>
            <w:tcW w:w="318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高等教育问题研究</w:t>
            </w:r>
          </w:p>
        </w:tc>
      </w:tr>
      <w:tr>
        <w:tblPrEx>
          <w:tblLayout w:type="fixed"/>
          <w:tblCellMar>
            <w:top w:w="0" w:type="dxa"/>
            <w:left w:w="108" w:type="dxa"/>
            <w:bottom w:w="0" w:type="dxa"/>
            <w:right w:w="108" w:type="dxa"/>
          </w:tblCellMar>
        </w:tblPrEx>
        <w:trPr>
          <w:trHeight w:val="280" w:hRule="atLeast"/>
        </w:trPr>
        <w:tc>
          <w:tcPr>
            <w:tcW w:w="426" w:type="dxa"/>
            <w:tcBorders>
              <w:top w:val="nil"/>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21</w:t>
            </w:r>
          </w:p>
        </w:tc>
        <w:tc>
          <w:tcPr>
            <w:tcW w:w="2708"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金融、财税问题研究</w:t>
            </w:r>
          </w:p>
        </w:tc>
        <w:tc>
          <w:tcPr>
            <w:tcW w:w="426" w:type="dxa"/>
            <w:tcBorders>
              <w:top w:val="nil"/>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22</w:t>
            </w:r>
          </w:p>
        </w:tc>
        <w:tc>
          <w:tcPr>
            <w:tcW w:w="318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新会计准则及财会审计问题研究</w:t>
            </w:r>
          </w:p>
        </w:tc>
      </w:tr>
      <w:tr>
        <w:tblPrEx>
          <w:tblLayout w:type="fixed"/>
          <w:tblCellMar>
            <w:top w:w="0" w:type="dxa"/>
            <w:left w:w="108" w:type="dxa"/>
            <w:bottom w:w="0" w:type="dxa"/>
            <w:right w:w="108" w:type="dxa"/>
          </w:tblCellMar>
        </w:tblPrEx>
        <w:trPr>
          <w:trHeight w:val="280" w:hRule="atLeast"/>
        </w:trPr>
        <w:tc>
          <w:tcPr>
            <w:tcW w:w="426" w:type="dxa"/>
            <w:tcBorders>
              <w:top w:val="nil"/>
              <w:left w:val="single" w:color="auto" w:sz="4" w:space="0"/>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23</w:t>
            </w:r>
          </w:p>
        </w:tc>
        <w:tc>
          <w:tcPr>
            <w:tcW w:w="2708"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人力资源与社会保障</w:t>
            </w:r>
          </w:p>
        </w:tc>
        <w:tc>
          <w:tcPr>
            <w:tcW w:w="426" w:type="dxa"/>
            <w:tcBorders>
              <w:top w:val="nil"/>
              <w:left w:val="nil"/>
              <w:bottom w:val="single" w:color="auto" w:sz="4" w:space="0"/>
              <w:right w:val="nil"/>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24</w:t>
            </w:r>
          </w:p>
        </w:tc>
        <w:tc>
          <w:tcPr>
            <w:tcW w:w="3189"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cs="Times New Roman"/>
                <w:color w:val="000000"/>
                <w:kern w:val="0"/>
                <w:sz w:val="21"/>
                <w:szCs w:val="21"/>
              </w:rPr>
            </w:pPr>
            <w:r>
              <w:rPr>
                <w:rFonts w:hint="eastAsia" w:ascii="宋体" w:hAnsi="宋体" w:eastAsia="宋体" w:cs="Times New Roman"/>
                <w:color w:val="000000"/>
                <w:kern w:val="0"/>
                <w:sz w:val="21"/>
                <w:szCs w:val="21"/>
              </w:rPr>
              <w:t>中国宏观经济形势</w:t>
            </w:r>
          </w:p>
        </w:tc>
      </w:tr>
    </w:tbl>
    <w:p>
      <w:pPr>
        <w:pStyle w:val="7"/>
        <w:numPr>
          <w:ilvl w:val="0"/>
          <w:numId w:val="1"/>
        </w:numPr>
        <w:ind w:firstLineChars="0"/>
        <w:rPr>
          <w:b/>
        </w:rPr>
      </w:pPr>
      <w:r>
        <w:rPr>
          <w:rFonts w:hint="eastAsia"/>
          <w:b/>
        </w:rPr>
        <w:t>人大“复印报刊资料”系列数据库使用指南</w:t>
      </w:r>
    </w:p>
    <w:p>
      <w:pPr>
        <w:pStyle w:val="7"/>
        <w:numPr>
          <w:ilvl w:val="0"/>
          <w:numId w:val="4"/>
        </w:numPr>
        <w:ind w:left="709" w:hanging="425" w:firstLineChars="0"/>
      </w:pPr>
      <w:r>
        <w:rPr>
          <w:rFonts w:hint="eastAsia"/>
        </w:rPr>
        <w:t>登陆注册</w:t>
      </w:r>
    </w:p>
    <w:p>
      <w:pPr>
        <w:pStyle w:val="7"/>
        <w:numPr>
          <w:ilvl w:val="0"/>
          <w:numId w:val="5"/>
        </w:numPr>
        <w:ind w:firstLineChars="0"/>
      </w:pPr>
      <w:r>
        <w:rPr>
          <w:rFonts w:hint="eastAsia"/>
        </w:rPr>
        <w:t>点击</w:t>
      </w:r>
      <w:r>
        <w:fldChar w:fldCharType="begin"/>
      </w:r>
      <w:r>
        <w:instrText xml:space="preserve"> HYPERLINK "http://ipub.exuezhe.com/index.html" </w:instrText>
      </w:r>
      <w:r>
        <w:fldChar w:fldCharType="separate"/>
      </w:r>
      <w:r>
        <w:rPr>
          <w:rStyle w:val="5"/>
          <w:rFonts w:hint="eastAsia"/>
          <w:b/>
        </w:rPr>
        <w:t>http://ipub.exuezhe.com/index.html</w:t>
      </w:r>
      <w:r>
        <w:rPr>
          <w:rStyle w:val="5"/>
          <w:rFonts w:hint="eastAsia"/>
          <w:b/>
        </w:rPr>
        <w:fldChar w:fldCharType="end"/>
      </w:r>
      <w:r>
        <w:rPr>
          <w:rFonts w:hint="eastAsia"/>
          <w:b/>
        </w:rPr>
        <w:t xml:space="preserve"> </w:t>
      </w:r>
      <w:bookmarkStart w:id="0" w:name="_GoBack"/>
      <w:bookmarkEnd w:id="0"/>
      <w:r>
        <w:rPr>
          <w:rFonts w:hint="eastAsia"/>
        </w:rPr>
        <w:t>即可进入人大“复印报刊资料”数据库主页面。</w:t>
      </w:r>
    </w:p>
    <w:p>
      <w:pPr>
        <w:pStyle w:val="7"/>
        <w:numPr>
          <w:ilvl w:val="0"/>
          <w:numId w:val="5"/>
        </w:numPr>
        <w:ind w:firstLineChars="0"/>
      </w:pPr>
      <w:r>
        <w:rPr>
          <w:rFonts w:hint="eastAsia"/>
        </w:rPr>
        <w:t>系统默认IP自动登陆，可在网页头部看到“**机构用户，欢迎您！”</w:t>
      </w:r>
    </w:p>
    <w:p>
      <w:pPr>
        <w:pStyle w:val="7"/>
        <w:ind w:left="-14" w:leftChars="-6" w:firstLine="228" w:firstLineChars="95"/>
      </w:pPr>
      <w:r>
        <w:drawing>
          <wp:inline distT="0" distB="0" distL="0" distR="0">
            <wp:extent cx="5270500" cy="918845"/>
            <wp:effectExtent l="0" t="0" r="1270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0500" cy="918845"/>
                    </a:xfrm>
                    <a:prstGeom prst="rect">
                      <a:avLst/>
                    </a:prstGeom>
                  </pic:spPr>
                </pic:pic>
              </a:graphicData>
            </a:graphic>
          </wp:inline>
        </w:drawing>
      </w:r>
    </w:p>
    <w:p>
      <w:pPr>
        <w:pStyle w:val="7"/>
        <w:numPr>
          <w:ilvl w:val="0"/>
          <w:numId w:val="5"/>
        </w:numPr>
        <w:ind w:firstLineChars="0"/>
      </w:pPr>
      <w:r>
        <w:rPr>
          <w:rFonts w:hint="eastAsia"/>
        </w:rPr>
        <w:t>如果没有IP自动登陆，需要用户免费注册后登录。</w:t>
      </w:r>
    </w:p>
    <w:p>
      <w:pPr>
        <w:pStyle w:val="7"/>
        <w:ind w:left="-14" w:leftChars="-6" w:firstLine="228" w:firstLineChars="95"/>
      </w:pPr>
      <w:r>
        <w:rPr>
          <w:rFonts w:hint="eastAsia"/>
        </w:rPr>
        <w:drawing>
          <wp:inline distT="0" distB="0" distL="0" distR="0">
            <wp:extent cx="5270500" cy="1240790"/>
            <wp:effectExtent l="0" t="0" r="1270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0500" cy="1240790"/>
                    </a:xfrm>
                    <a:prstGeom prst="rect">
                      <a:avLst/>
                    </a:prstGeom>
                  </pic:spPr>
                </pic:pic>
              </a:graphicData>
            </a:graphic>
          </wp:inline>
        </w:drawing>
      </w:r>
    </w:p>
    <w:p>
      <w:pPr>
        <w:pStyle w:val="7"/>
        <w:ind w:left="-12" w:leftChars="-5" w:firstLine="228" w:firstLineChars="95"/>
      </w:pPr>
    </w:p>
    <w:p>
      <w:pPr>
        <w:pStyle w:val="7"/>
        <w:numPr>
          <w:ilvl w:val="0"/>
          <w:numId w:val="4"/>
        </w:numPr>
        <w:ind w:left="709" w:hanging="425" w:firstLineChars="0"/>
      </w:pPr>
      <w:r>
        <w:rPr>
          <w:rFonts w:hint="eastAsia"/>
        </w:rPr>
        <w:t>查找文献</w:t>
      </w:r>
    </w:p>
    <w:p>
      <w:pPr>
        <w:pStyle w:val="7"/>
        <w:numPr>
          <w:ilvl w:val="0"/>
          <w:numId w:val="6"/>
        </w:numPr>
        <w:ind w:firstLineChars="0"/>
      </w:pPr>
      <w:r>
        <w:rPr>
          <w:rFonts w:hint="eastAsia"/>
        </w:rPr>
        <w:t>导航检索</w:t>
      </w:r>
    </w:p>
    <w:p>
      <w:pPr>
        <w:pStyle w:val="7"/>
        <w:ind w:left="1189" w:firstLine="0" w:firstLineChars="0"/>
      </w:pPr>
      <w:r>
        <w:rPr>
          <w:rFonts w:hint="eastAsia"/>
        </w:rPr>
        <w:t>可通过系统首页导航栏分别进入六大子库，在各个子库中查找文献。</w:t>
      </w:r>
    </w:p>
    <w:p>
      <w:pPr>
        <w:pStyle w:val="7"/>
        <w:ind w:left="-14" w:leftChars="-6" w:firstLine="228" w:firstLineChars="95"/>
      </w:pPr>
      <w:r>
        <w:drawing>
          <wp:inline distT="0" distB="0" distL="0" distR="0">
            <wp:extent cx="5270500" cy="2244090"/>
            <wp:effectExtent l="0" t="0" r="1270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0500" cy="2244090"/>
                    </a:xfrm>
                    <a:prstGeom prst="rect">
                      <a:avLst/>
                    </a:prstGeom>
                  </pic:spPr>
                </pic:pic>
              </a:graphicData>
            </a:graphic>
          </wp:inline>
        </w:drawing>
      </w:r>
    </w:p>
    <w:p>
      <w:pPr>
        <w:pStyle w:val="7"/>
        <w:ind w:left="709" w:firstLine="425" w:firstLineChars="177"/>
      </w:pPr>
      <w:r>
        <w:rPr>
          <w:rFonts w:hint="eastAsia"/>
        </w:rPr>
        <w:t>以全文数据库为例，可以先选择感兴趣的学科分类，再按文章发表年份筛选出检索结果。</w:t>
      </w:r>
    </w:p>
    <w:p>
      <w:pPr>
        <w:pStyle w:val="7"/>
        <w:ind w:left="709" w:firstLine="425" w:firstLineChars="177"/>
      </w:pPr>
      <w:r>
        <w:rPr>
          <w:rFonts w:hint="eastAsia"/>
        </w:rPr>
        <w:t>分类名称前带“+”的方框可逐级展开该类直至最小类目，带“</w:t>
      </w:r>
      <w:r>
        <w:rPr>
          <w:rFonts w:hint="eastAsia" w:ascii="宋体" w:hAnsi="宋体" w:eastAsia="宋体"/>
        </w:rPr>
        <w:t>□”</w:t>
      </w:r>
      <w:r>
        <w:rPr>
          <w:rFonts w:hint="eastAsia"/>
        </w:rPr>
        <w:t xml:space="preserve"> 的方框为多选框，可同时选择多个分类。</w:t>
      </w:r>
    </w:p>
    <w:p>
      <w:pPr>
        <w:pStyle w:val="7"/>
        <w:ind w:left="-14" w:leftChars="-6" w:firstLine="228" w:firstLineChars="95"/>
      </w:pPr>
      <w:r>
        <w:drawing>
          <wp:inline distT="0" distB="0" distL="0" distR="0">
            <wp:extent cx="5270500" cy="2515870"/>
            <wp:effectExtent l="0" t="0" r="1270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0500" cy="2515870"/>
                    </a:xfrm>
                    <a:prstGeom prst="rect">
                      <a:avLst/>
                    </a:prstGeom>
                  </pic:spPr>
                </pic:pic>
              </a:graphicData>
            </a:graphic>
          </wp:inline>
        </w:drawing>
      </w:r>
    </w:p>
    <w:p>
      <w:pPr>
        <w:pStyle w:val="7"/>
        <w:ind w:left="-14" w:leftChars="-6" w:firstLine="228" w:firstLineChars="95"/>
      </w:pPr>
    </w:p>
    <w:p>
      <w:pPr>
        <w:pStyle w:val="7"/>
        <w:numPr>
          <w:ilvl w:val="0"/>
          <w:numId w:val="6"/>
        </w:numPr>
        <w:ind w:firstLineChars="0"/>
      </w:pPr>
      <w:r>
        <w:rPr>
          <w:rFonts w:hint="eastAsia"/>
        </w:rPr>
        <w:t>简单检索</w:t>
      </w:r>
    </w:p>
    <w:p>
      <w:pPr>
        <w:pStyle w:val="7"/>
        <w:ind w:left="709" w:firstLine="425" w:firstLineChars="177"/>
      </w:pPr>
      <w:r>
        <w:rPr>
          <w:rFonts w:hint="eastAsia"/>
        </w:rPr>
        <w:t>在系统首页检索条处可选择要检索的子库，设置检索字段，输入检索词查找文献。并可以通过“跨库检索”在所有子库中同时检索。</w:t>
      </w:r>
    </w:p>
    <w:p>
      <w:pPr>
        <w:pStyle w:val="7"/>
        <w:ind w:left="-14" w:leftChars="-6" w:firstLine="228" w:firstLineChars="95"/>
      </w:pPr>
      <w:r>
        <w:drawing>
          <wp:inline distT="0" distB="0" distL="0" distR="0">
            <wp:extent cx="5270500" cy="877570"/>
            <wp:effectExtent l="0" t="0" r="1270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0500" cy="877570"/>
                    </a:xfrm>
                    <a:prstGeom prst="rect">
                      <a:avLst/>
                    </a:prstGeom>
                  </pic:spPr>
                </pic:pic>
              </a:graphicData>
            </a:graphic>
          </wp:inline>
        </w:drawing>
      </w:r>
    </w:p>
    <w:p>
      <w:pPr>
        <w:pStyle w:val="7"/>
        <w:ind w:left="709" w:firstLine="425" w:firstLineChars="177"/>
      </w:pPr>
      <w:r>
        <w:rPr>
          <w:rFonts w:hint="eastAsia"/>
        </w:rPr>
        <w:t>以全文数据库为例，可按任意词、标题、副标题、作者、作者简介、关键词、正文、摘要、参考文献、原文出处等字段检索。</w:t>
      </w:r>
    </w:p>
    <w:p>
      <w:pPr>
        <w:pStyle w:val="7"/>
        <w:ind w:left="709" w:firstLine="425" w:firstLineChars="177"/>
      </w:pPr>
      <w:r>
        <w:rPr>
          <w:rFonts w:hint="eastAsia"/>
        </w:rPr>
        <w:t>检索结果可按时间降序排列，按学科分类筛选，按文章发表年份、或者输入检索词二次检索。</w:t>
      </w:r>
    </w:p>
    <w:p>
      <w:pPr>
        <w:pStyle w:val="7"/>
        <w:ind w:left="-14" w:leftChars="-6" w:firstLine="228" w:firstLineChars="95"/>
      </w:pPr>
      <w:r>
        <w:drawing>
          <wp:inline distT="0" distB="0" distL="0" distR="0">
            <wp:extent cx="5270500" cy="2540000"/>
            <wp:effectExtent l="0" t="0" r="1270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0500" cy="2540000"/>
                    </a:xfrm>
                    <a:prstGeom prst="rect">
                      <a:avLst/>
                    </a:prstGeom>
                  </pic:spPr>
                </pic:pic>
              </a:graphicData>
            </a:graphic>
          </wp:inline>
        </w:drawing>
      </w:r>
    </w:p>
    <w:p>
      <w:pPr>
        <w:pStyle w:val="7"/>
        <w:ind w:left="-14" w:leftChars="-6" w:firstLine="228" w:firstLineChars="95"/>
      </w:pPr>
    </w:p>
    <w:p>
      <w:pPr>
        <w:pStyle w:val="7"/>
        <w:numPr>
          <w:ilvl w:val="0"/>
          <w:numId w:val="6"/>
        </w:numPr>
        <w:ind w:firstLineChars="0"/>
      </w:pPr>
      <w:r>
        <w:rPr>
          <w:rFonts w:hint="eastAsia"/>
        </w:rPr>
        <w:t>高级检索</w:t>
      </w:r>
    </w:p>
    <w:p>
      <w:pPr>
        <w:pStyle w:val="7"/>
        <w:ind w:left="709" w:firstLine="425" w:firstLineChars="177"/>
      </w:pPr>
      <w:r>
        <w:rPr>
          <w:rFonts w:hint="eastAsia"/>
        </w:rPr>
        <w:t>在系统首页检索条处可进入高级搜索，设置多个检索条件组合检索。</w:t>
      </w:r>
    </w:p>
    <w:p>
      <w:pPr>
        <w:pStyle w:val="7"/>
        <w:ind w:left="-14" w:leftChars="-6" w:firstLine="228" w:firstLineChars="95"/>
      </w:pPr>
      <w:r>
        <w:drawing>
          <wp:inline distT="0" distB="0" distL="0" distR="0">
            <wp:extent cx="5270500" cy="751205"/>
            <wp:effectExtent l="0" t="0" r="1270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0500" cy="751205"/>
                    </a:xfrm>
                    <a:prstGeom prst="rect">
                      <a:avLst/>
                    </a:prstGeom>
                  </pic:spPr>
                </pic:pic>
              </a:graphicData>
            </a:graphic>
          </wp:inline>
        </w:drawing>
      </w:r>
    </w:p>
    <w:p>
      <w:pPr>
        <w:pStyle w:val="7"/>
        <w:ind w:left="-14" w:leftChars="-6" w:firstLine="228" w:firstLineChars="95"/>
      </w:pPr>
      <w:r>
        <w:drawing>
          <wp:inline distT="0" distB="0" distL="0" distR="0">
            <wp:extent cx="5270500" cy="118046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1181089"/>
                    </a:xfrm>
                    <a:prstGeom prst="rect">
                      <a:avLst/>
                    </a:prstGeom>
                    <a:noFill/>
                    <a:ln>
                      <a:noFill/>
                    </a:ln>
                  </pic:spPr>
                </pic:pic>
              </a:graphicData>
            </a:graphic>
          </wp:inline>
        </w:drawing>
      </w:r>
    </w:p>
    <w:p>
      <w:pPr>
        <w:pStyle w:val="7"/>
        <w:ind w:left="709" w:firstLine="0" w:firstLineChars="0"/>
      </w:pPr>
    </w:p>
    <w:p>
      <w:pPr>
        <w:pStyle w:val="7"/>
        <w:numPr>
          <w:ilvl w:val="0"/>
          <w:numId w:val="4"/>
        </w:numPr>
        <w:ind w:left="709" w:hanging="425" w:firstLineChars="0"/>
      </w:pPr>
      <w:r>
        <w:rPr>
          <w:rFonts w:hint="eastAsia"/>
        </w:rPr>
        <w:t>阅读文献</w:t>
      </w:r>
    </w:p>
    <w:p>
      <w:pPr>
        <w:pStyle w:val="7"/>
        <w:ind w:left="709" w:firstLine="425" w:firstLineChars="177"/>
      </w:pPr>
      <w:r>
        <w:rPr>
          <w:rFonts w:hint="eastAsia"/>
        </w:rPr>
        <w:t>系统不需要安装任何软件，用IE浏览器就可以阅读、复制、粘贴文字，还可以选择字体大小、直接打印或下载保存为word文档。</w:t>
      </w:r>
    </w:p>
    <w:p>
      <w:pPr>
        <w:pStyle w:val="7"/>
        <w:ind w:left="709" w:firstLine="425" w:firstLineChars="177"/>
      </w:pPr>
      <w:r>
        <w:rPr>
          <w:rFonts w:hint="eastAsia"/>
        </w:rPr>
        <w:t>个人注册登录的用户可以收藏文献，关注作者。</w:t>
      </w:r>
    </w:p>
    <w:p>
      <w:pPr>
        <w:pStyle w:val="7"/>
        <w:ind w:left="-14" w:leftChars="-6" w:firstLine="228" w:firstLineChars="95"/>
      </w:pPr>
      <w:r>
        <w:drawing>
          <wp:inline distT="0" distB="0" distL="0" distR="0">
            <wp:extent cx="5270500" cy="2339975"/>
            <wp:effectExtent l="0" t="0" r="1270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0500" cy="2339975"/>
                    </a:xfrm>
                    <a:prstGeom prst="rect">
                      <a:avLst/>
                    </a:prstGeom>
                  </pic:spPr>
                </pic:pic>
              </a:graphicData>
            </a:graphic>
          </wp:inline>
        </w:drawing>
      </w:r>
    </w:p>
    <w:p>
      <w:pPr>
        <w:pStyle w:val="7"/>
        <w:ind w:left="709" w:firstLine="0" w:firstLineChars="0"/>
      </w:pPr>
    </w:p>
    <w:p>
      <w:pPr>
        <w:pStyle w:val="7"/>
        <w:numPr>
          <w:ilvl w:val="0"/>
          <w:numId w:val="4"/>
        </w:numPr>
        <w:ind w:left="709" w:hanging="425" w:firstLineChars="0"/>
      </w:pPr>
      <w:r>
        <w:rPr>
          <w:rFonts w:hint="eastAsia"/>
        </w:rPr>
        <w:t>个人中心</w:t>
      </w:r>
    </w:p>
    <w:p>
      <w:pPr>
        <w:pStyle w:val="7"/>
        <w:ind w:left="709" w:firstLine="425" w:firstLineChars="177"/>
      </w:pPr>
      <w:r>
        <w:rPr>
          <w:rFonts w:hint="eastAsia"/>
        </w:rPr>
        <w:t>用户注册登录后可“进入会员中心”，查看个人基本信息，订阅关键词，收藏论文、期刊，浏览记录，检索历史，关注学者，以及个人购买阅读卡的账户、订单信息等。</w:t>
      </w:r>
    </w:p>
    <w:p>
      <w:pPr>
        <w:pStyle w:val="7"/>
        <w:ind w:left="-14" w:leftChars="-6" w:firstLine="228" w:firstLineChars="95"/>
      </w:pPr>
      <w:r>
        <w:drawing>
          <wp:inline distT="0" distB="0" distL="0" distR="0">
            <wp:extent cx="5270500" cy="2986405"/>
            <wp:effectExtent l="0" t="0" r="1270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0500" cy="2986405"/>
                    </a:xfrm>
                    <a:prstGeom prst="rect">
                      <a:avLst/>
                    </a:prstGeom>
                  </pic:spPr>
                </pic:pic>
              </a:graphicData>
            </a:graphic>
          </wp:inline>
        </w:drawing>
      </w:r>
    </w:p>
    <w:p>
      <w:pPr>
        <w:pStyle w:val="7"/>
        <w:ind w:left="284" w:firstLine="425" w:firstLineChars="177"/>
      </w:pPr>
    </w:p>
    <w:p>
      <w:pPr>
        <w:pStyle w:val="7"/>
        <w:ind w:left="284" w:firstLine="425" w:firstLineChars="177"/>
      </w:pPr>
      <w:r>
        <w:rPr>
          <w:rFonts w:hint="eastAsia"/>
        </w:rPr>
        <w:t>精选千家报刊 荟萃中华学术</w:t>
      </w:r>
    </w:p>
    <w:p>
      <w:pPr>
        <w:pStyle w:val="7"/>
        <w:ind w:left="284" w:firstLine="425" w:firstLineChars="177"/>
      </w:pPr>
    </w:p>
    <w:p>
      <w:pPr>
        <w:pStyle w:val="7"/>
        <w:ind w:left="284" w:firstLine="425" w:firstLineChars="177"/>
      </w:pPr>
      <w:r>
        <w:rPr>
          <w:rFonts w:hint="eastAsia"/>
        </w:rPr>
        <w:t>人大数媒科技（北京）有限公司</w:t>
      </w:r>
    </w:p>
    <w:p>
      <w:pPr>
        <w:pStyle w:val="7"/>
        <w:ind w:left="284" w:firstLine="425" w:firstLineChars="177"/>
      </w:pPr>
      <w:r>
        <w:rPr>
          <w:rFonts w:hint="eastAsia"/>
        </w:rPr>
        <w:t>地址：北京市海淀区中关村大街45号兴发大厦301室</w:t>
      </w:r>
    </w:p>
    <w:p>
      <w:pPr>
        <w:pStyle w:val="7"/>
        <w:ind w:left="284" w:firstLine="425" w:firstLineChars="177"/>
      </w:pPr>
      <w:r>
        <w:rPr>
          <w:rFonts w:hint="eastAsia"/>
        </w:rPr>
        <w:t>客服电话：010-62516520</w:t>
      </w:r>
    </w:p>
    <w:p>
      <w:pPr>
        <w:pStyle w:val="7"/>
        <w:ind w:left="284" w:firstLine="425" w:firstLineChars="177"/>
      </w:pPr>
      <w:r>
        <w:rPr>
          <w:rFonts w:hint="eastAsia"/>
        </w:rPr>
        <w:t>客服邮箱：help@rucdm.com</w:t>
      </w:r>
    </w:p>
    <w:p>
      <w:pPr>
        <w:pStyle w:val="7"/>
        <w:ind w:left="284" w:firstLine="425" w:firstLineChars="177"/>
      </w:pPr>
      <w:r>
        <w:rPr>
          <w:rFonts w:hint="eastAsia"/>
        </w:rPr>
        <w:t>网址：www.rucdm.com</w:t>
      </w:r>
    </w:p>
    <w:p>
      <w:pPr>
        <w:pStyle w:val="7"/>
        <w:ind w:left="284" w:firstLine="425" w:firstLineChars="177"/>
      </w:pPr>
    </w:p>
    <w:p>
      <w:pPr>
        <w:pStyle w:val="7"/>
        <w:ind w:left="284" w:firstLine="425" w:firstLineChars="177"/>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iti SC Light">
    <w:altName w:val="hakuyoxingshu7000"/>
    <w:panose1 w:val="00000000000000000000"/>
    <w:charset w:val="50"/>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hakuyoxingshu7000">
    <w:panose1 w:val="02000600000000000000"/>
    <w:charset w:val="86"/>
    <w:family w:val="auto"/>
    <w:pitch w:val="default"/>
    <w:sig w:usb0="FFFFFFFF" w:usb1="E9FFFFFF" w:usb2="0000003F" w:usb3="00000000" w:csb0="603F00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D4647"/>
    <w:multiLevelType w:val="multilevel"/>
    <w:tmpl w:val="1B7D4647"/>
    <w:lvl w:ilvl="0" w:tentative="0">
      <w:start w:val="1"/>
      <w:numFmt w:val="decimal"/>
      <w:lvlText w:val="%1."/>
      <w:lvlJc w:val="left"/>
      <w:pPr>
        <w:ind w:left="1189" w:hanging="480"/>
      </w:pPr>
    </w:lvl>
    <w:lvl w:ilvl="1" w:tentative="0">
      <w:start w:val="1"/>
      <w:numFmt w:val="lowerLetter"/>
      <w:lvlText w:val="%2)"/>
      <w:lvlJc w:val="left"/>
      <w:pPr>
        <w:ind w:left="1669" w:hanging="480"/>
      </w:pPr>
    </w:lvl>
    <w:lvl w:ilvl="2" w:tentative="0">
      <w:start w:val="1"/>
      <w:numFmt w:val="lowerRoman"/>
      <w:lvlText w:val="%3."/>
      <w:lvlJc w:val="right"/>
      <w:pPr>
        <w:ind w:left="2149" w:hanging="480"/>
      </w:pPr>
    </w:lvl>
    <w:lvl w:ilvl="3" w:tentative="0">
      <w:start w:val="1"/>
      <w:numFmt w:val="decimal"/>
      <w:lvlText w:val="%4."/>
      <w:lvlJc w:val="left"/>
      <w:pPr>
        <w:ind w:left="2629" w:hanging="480"/>
      </w:pPr>
    </w:lvl>
    <w:lvl w:ilvl="4" w:tentative="0">
      <w:start w:val="1"/>
      <w:numFmt w:val="lowerLetter"/>
      <w:lvlText w:val="%5)"/>
      <w:lvlJc w:val="left"/>
      <w:pPr>
        <w:ind w:left="3109" w:hanging="480"/>
      </w:pPr>
    </w:lvl>
    <w:lvl w:ilvl="5" w:tentative="0">
      <w:start w:val="1"/>
      <w:numFmt w:val="lowerRoman"/>
      <w:lvlText w:val="%6."/>
      <w:lvlJc w:val="right"/>
      <w:pPr>
        <w:ind w:left="3589" w:hanging="480"/>
      </w:pPr>
    </w:lvl>
    <w:lvl w:ilvl="6" w:tentative="0">
      <w:start w:val="1"/>
      <w:numFmt w:val="decimal"/>
      <w:lvlText w:val="%7."/>
      <w:lvlJc w:val="left"/>
      <w:pPr>
        <w:ind w:left="4069" w:hanging="480"/>
      </w:pPr>
    </w:lvl>
    <w:lvl w:ilvl="7" w:tentative="0">
      <w:start w:val="1"/>
      <w:numFmt w:val="lowerLetter"/>
      <w:lvlText w:val="%8)"/>
      <w:lvlJc w:val="left"/>
      <w:pPr>
        <w:ind w:left="4549" w:hanging="480"/>
      </w:pPr>
    </w:lvl>
    <w:lvl w:ilvl="8" w:tentative="0">
      <w:start w:val="1"/>
      <w:numFmt w:val="lowerRoman"/>
      <w:lvlText w:val="%9."/>
      <w:lvlJc w:val="right"/>
      <w:pPr>
        <w:ind w:left="5029" w:hanging="480"/>
      </w:pPr>
    </w:lvl>
  </w:abstractNum>
  <w:abstractNum w:abstractNumId="1">
    <w:nsid w:val="25171312"/>
    <w:multiLevelType w:val="multilevel"/>
    <w:tmpl w:val="25171312"/>
    <w:lvl w:ilvl="0" w:tentative="0">
      <w:start w:val="1"/>
      <w:numFmt w:val="japaneseCounting"/>
      <w:lvlText w:val="%1、"/>
      <w:lvlJc w:val="left"/>
      <w:pPr>
        <w:ind w:left="720" w:hanging="72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
    <w:nsid w:val="67740A92"/>
    <w:multiLevelType w:val="multilevel"/>
    <w:tmpl w:val="67740A92"/>
    <w:lvl w:ilvl="0" w:tentative="0">
      <w:start w:val="1"/>
      <w:numFmt w:val="bullet"/>
      <w:lvlText w:val=""/>
      <w:lvlJc w:val="left"/>
      <w:pPr>
        <w:ind w:left="1189" w:hanging="480"/>
      </w:pPr>
      <w:rPr>
        <w:rFonts w:hint="default" w:ascii="Wingdings" w:hAnsi="Wingdings"/>
      </w:rPr>
    </w:lvl>
    <w:lvl w:ilvl="1" w:tentative="0">
      <w:start w:val="1"/>
      <w:numFmt w:val="bullet"/>
      <w:lvlText w:val=""/>
      <w:lvlJc w:val="left"/>
      <w:pPr>
        <w:ind w:left="1669" w:hanging="480"/>
      </w:pPr>
      <w:rPr>
        <w:rFonts w:hint="default" w:ascii="Wingdings" w:hAnsi="Wingdings"/>
      </w:rPr>
    </w:lvl>
    <w:lvl w:ilvl="2" w:tentative="0">
      <w:start w:val="1"/>
      <w:numFmt w:val="bullet"/>
      <w:lvlText w:val=""/>
      <w:lvlJc w:val="left"/>
      <w:pPr>
        <w:ind w:left="2149" w:hanging="480"/>
      </w:pPr>
      <w:rPr>
        <w:rFonts w:hint="default" w:ascii="Wingdings" w:hAnsi="Wingdings"/>
      </w:rPr>
    </w:lvl>
    <w:lvl w:ilvl="3" w:tentative="0">
      <w:start w:val="1"/>
      <w:numFmt w:val="bullet"/>
      <w:lvlText w:val=""/>
      <w:lvlJc w:val="left"/>
      <w:pPr>
        <w:ind w:left="2629" w:hanging="480"/>
      </w:pPr>
      <w:rPr>
        <w:rFonts w:hint="default" w:ascii="Wingdings" w:hAnsi="Wingdings"/>
      </w:rPr>
    </w:lvl>
    <w:lvl w:ilvl="4" w:tentative="0">
      <w:start w:val="1"/>
      <w:numFmt w:val="bullet"/>
      <w:lvlText w:val=""/>
      <w:lvlJc w:val="left"/>
      <w:pPr>
        <w:ind w:left="3109" w:hanging="480"/>
      </w:pPr>
      <w:rPr>
        <w:rFonts w:hint="default" w:ascii="Wingdings" w:hAnsi="Wingdings"/>
      </w:rPr>
    </w:lvl>
    <w:lvl w:ilvl="5" w:tentative="0">
      <w:start w:val="1"/>
      <w:numFmt w:val="bullet"/>
      <w:lvlText w:val=""/>
      <w:lvlJc w:val="left"/>
      <w:pPr>
        <w:ind w:left="3589" w:hanging="480"/>
      </w:pPr>
      <w:rPr>
        <w:rFonts w:hint="default" w:ascii="Wingdings" w:hAnsi="Wingdings"/>
      </w:rPr>
    </w:lvl>
    <w:lvl w:ilvl="6" w:tentative="0">
      <w:start w:val="1"/>
      <w:numFmt w:val="bullet"/>
      <w:lvlText w:val=""/>
      <w:lvlJc w:val="left"/>
      <w:pPr>
        <w:ind w:left="4069" w:hanging="480"/>
      </w:pPr>
      <w:rPr>
        <w:rFonts w:hint="default" w:ascii="Wingdings" w:hAnsi="Wingdings"/>
      </w:rPr>
    </w:lvl>
    <w:lvl w:ilvl="7" w:tentative="0">
      <w:start w:val="1"/>
      <w:numFmt w:val="bullet"/>
      <w:lvlText w:val=""/>
      <w:lvlJc w:val="left"/>
      <w:pPr>
        <w:ind w:left="4549" w:hanging="480"/>
      </w:pPr>
      <w:rPr>
        <w:rFonts w:hint="default" w:ascii="Wingdings" w:hAnsi="Wingdings"/>
      </w:rPr>
    </w:lvl>
    <w:lvl w:ilvl="8" w:tentative="0">
      <w:start w:val="1"/>
      <w:numFmt w:val="bullet"/>
      <w:lvlText w:val=""/>
      <w:lvlJc w:val="left"/>
      <w:pPr>
        <w:ind w:left="5029" w:hanging="480"/>
      </w:pPr>
      <w:rPr>
        <w:rFonts w:hint="default" w:ascii="Wingdings" w:hAnsi="Wingdings"/>
      </w:rPr>
    </w:lvl>
  </w:abstractNum>
  <w:abstractNum w:abstractNumId="3">
    <w:nsid w:val="785A71A3"/>
    <w:multiLevelType w:val="multilevel"/>
    <w:tmpl w:val="785A71A3"/>
    <w:lvl w:ilvl="0" w:tentative="0">
      <w:start w:val="1"/>
      <w:numFmt w:val="bullet"/>
      <w:lvlText w:val=""/>
      <w:lvlJc w:val="left"/>
      <w:pPr>
        <w:ind w:left="1189" w:hanging="480"/>
      </w:pPr>
      <w:rPr>
        <w:rFonts w:hint="default" w:ascii="Wingdings" w:hAnsi="Wingdings"/>
      </w:rPr>
    </w:lvl>
    <w:lvl w:ilvl="1" w:tentative="0">
      <w:start w:val="1"/>
      <w:numFmt w:val="bullet"/>
      <w:lvlText w:val=""/>
      <w:lvlJc w:val="left"/>
      <w:pPr>
        <w:ind w:left="1669" w:hanging="480"/>
      </w:pPr>
      <w:rPr>
        <w:rFonts w:hint="default" w:ascii="Wingdings" w:hAnsi="Wingdings"/>
      </w:rPr>
    </w:lvl>
    <w:lvl w:ilvl="2" w:tentative="0">
      <w:start w:val="1"/>
      <w:numFmt w:val="bullet"/>
      <w:lvlText w:val=""/>
      <w:lvlJc w:val="left"/>
      <w:pPr>
        <w:ind w:left="2149" w:hanging="480"/>
      </w:pPr>
      <w:rPr>
        <w:rFonts w:hint="default" w:ascii="Wingdings" w:hAnsi="Wingdings"/>
      </w:rPr>
    </w:lvl>
    <w:lvl w:ilvl="3" w:tentative="0">
      <w:start w:val="1"/>
      <w:numFmt w:val="bullet"/>
      <w:lvlText w:val=""/>
      <w:lvlJc w:val="left"/>
      <w:pPr>
        <w:ind w:left="2629" w:hanging="480"/>
      </w:pPr>
      <w:rPr>
        <w:rFonts w:hint="default" w:ascii="Wingdings" w:hAnsi="Wingdings"/>
      </w:rPr>
    </w:lvl>
    <w:lvl w:ilvl="4" w:tentative="0">
      <w:start w:val="1"/>
      <w:numFmt w:val="bullet"/>
      <w:lvlText w:val=""/>
      <w:lvlJc w:val="left"/>
      <w:pPr>
        <w:ind w:left="3109" w:hanging="480"/>
      </w:pPr>
      <w:rPr>
        <w:rFonts w:hint="default" w:ascii="Wingdings" w:hAnsi="Wingdings"/>
      </w:rPr>
    </w:lvl>
    <w:lvl w:ilvl="5" w:tentative="0">
      <w:start w:val="1"/>
      <w:numFmt w:val="bullet"/>
      <w:lvlText w:val=""/>
      <w:lvlJc w:val="left"/>
      <w:pPr>
        <w:ind w:left="3589" w:hanging="480"/>
      </w:pPr>
      <w:rPr>
        <w:rFonts w:hint="default" w:ascii="Wingdings" w:hAnsi="Wingdings"/>
      </w:rPr>
    </w:lvl>
    <w:lvl w:ilvl="6" w:tentative="0">
      <w:start w:val="1"/>
      <w:numFmt w:val="bullet"/>
      <w:lvlText w:val=""/>
      <w:lvlJc w:val="left"/>
      <w:pPr>
        <w:ind w:left="4069" w:hanging="480"/>
      </w:pPr>
      <w:rPr>
        <w:rFonts w:hint="default" w:ascii="Wingdings" w:hAnsi="Wingdings"/>
      </w:rPr>
    </w:lvl>
    <w:lvl w:ilvl="7" w:tentative="0">
      <w:start w:val="1"/>
      <w:numFmt w:val="bullet"/>
      <w:lvlText w:val=""/>
      <w:lvlJc w:val="left"/>
      <w:pPr>
        <w:ind w:left="4549" w:hanging="480"/>
      </w:pPr>
      <w:rPr>
        <w:rFonts w:hint="default" w:ascii="Wingdings" w:hAnsi="Wingdings"/>
      </w:rPr>
    </w:lvl>
    <w:lvl w:ilvl="8" w:tentative="0">
      <w:start w:val="1"/>
      <w:numFmt w:val="bullet"/>
      <w:lvlText w:val=""/>
      <w:lvlJc w:val="left"/>
      <w:pPr>
        <w:ind w:left="5029" w:hanging="480"/>
      </w:pPr>
      <w:rPr>
        <w:rFonts w:hint="default" w:ascii="Wingdings" w:hAnsi="Wingdings"/>
      </w:rPr>
    </w:lvl>
  </w:abstractNum>
  <w:abstractNum w:abstractNumId="4">
    <w:nsid w:val="7A9E483A"/>
    <w:multiLevelType w:val="multilevel"/>
    <w:tmpl w:val="7A9E483A"/>
    <w:lvl w:ilvl="0" w:tentative="0">
      <w:start w:val="1"/>
      <w:numFmt w:val="decimal"/>
      <w:lvlText w:val="%1)"/>
      <w:lvlJc w:val="left"/>
      <w:pPr>
        <w:ind w:left="1189" w:hanging="480"/>
      </w:pPr>
    </w:lvl>
    <w:lvl w:ilvl="1" w:tentative="0">
      <w:start w:val="1"/>
      <w:numFmt w:val="lowerLetter"/>
      <w:lvlText w:val="%2)"/>
      <w:lvlJc w:val="left"/>
      <w:pPr>
        <w:ind w:left="1669" w:hanging="480"/>
      </w:pPr>
    </w:lvl>
    <w:lvl w:ilvl="2" w:tentative="0">
      <w:start w:val="1"/>
      <w:numFmt w:val="lowerRoman"/>
      <w:lvlText w:val="%3."/>
      <w:lvlJc w:val="right"/>
      <w:pPr>
        <w:ind w:left="2149" w:hanging="480"/>
      </w:pPr>
    </w:lvl>
    <w:lvl w:ilvl="3" w:tentative="0">
      <w:start w:val="1"/>
      <w:numFmt w:val="decimal"/>
      <w:lvlText w:val="%4."/>
      <w:lvlJc w:val="left"/>
      <w:pPr>
        <w:ind w:left="2629" w:hanging="480"/>
      </w:pPr>
    </w:lvl>
    <w:lvl w:ilvl="4" w:tentative="0">
      <w:start w:val="1"/>
      <w:numFmt w:val="lowerLetter"/>
      <w:lvlText w:val="%5)"/>
      <w:lvlJc w:val="left"/>
      <w:pPr>
        <w:ind w:left="3109" w:hanging="480"/>
      </w:pPr>
    </w:lvl>
    <w:lvl w:ilvl="5" w:tentative="0">
      <w:start w:val="1"/>
      <w:numFmt w:val="lowerRoman"/>
      <w:lvlText w:val="%6."/>
      <w:lvlJc w:val="right"/>
      <w:pPr>
        <w:ind w:left="3589" w:hanging="480"/>
      </w:pPr>
    </w:lvl>
    <w:lvl w:ilvl="6" w:tentative="0">
      <w:start w:val="1"/>
      <w:numFmt w:val="decimal"/>
      <w:lvlText w:val="%7."/>
      <w:lvlJc w:val="left"/>
      <w:pPr>
        <w:ind w:left="4069" w:hanging="480"/>
      </w:pPr>
    </w:lvl>
    <w:lvl w:ilvl="7" w:tentative="0">
      <w:start w:val="1"/>
      <w:numFmt w:val="lowerLetter"/>
      <w:lvlText w:val="%8)"/>
      <w:lvlJc w:val="left"/>
      <w:pPr>
        <w:ind w:left="4549" w:hanging="480"/>
      </w:pPr>
    </w:lvl>
    <w:lvl w:ilvl="8" w:tentative="0">
      <w:start w:val="1"/>
      <w:numFmt w:val="lowerRoman"/>
      <w:lvlText w:val="%9."/>
      <w:lvlJc w:val="right"/>
      <w:pPr>
        <w:ind w:left="5029" w:hanging="480"/>
      </w:pPr>
    </w:lvl>
  </w:abstractNum>
  <w:abstractNum w:abstractNumId="5">
    <w:nsid w:val="7D7C63AA"/>
    <w:multiLevelType w:val="multilevel"/>
    <w:tmpl w:val="7D7C63AA"/>
    <w:lvl w:ilvl="0" w:tentative="0">
      <w:start w:val="1"/>
      <w:numFmt w:val="decimal"/>
      <w:lvlText w:val="%1)"/>
      <w:lvlJc w:val="left"/>
      <w:pPr>
        <w:ind w:left="1189" w:hanging="480"/>
      </w:pPr>
    </w:lvl>
    <w:lvl w:ilvl="1" w:tentative="0">
      <w:start w:val="1"/>
      <w:numFmt w:val="lowerLetter"/>
      <w:lvlText w:val="%2)"/>
      <w:lvlJc w:val="left"/>
      <w:pPr>
        <w:ind w:left="1669" w:hanging="480"/>
      </w:pPr>
    </w:lvl>
    <w:lvl w:ilvl="2" w:tentative="0">
      <w:start w:val="1"/>
      <w:numFmt w:val="lowerRoman"/>
      <w:lvlText w:val="%3."/>
      <w:lvlJc w:val="right"/>
      <w:pPr>
        <w:ind w:left="2149" w:hanging="480"/>
      </w:pPr>
    </w:lvl>
    <w:lvl w:ilvl="3" w:tentative="0">
      <w:start w:val="1"/>
      <w:numFmt w:val="decimal"/>
      <w:lvlText w:val="%4."/>
      <w:lvlJc w:val="left"/>
      <w:pPr>
        <w:ind w:left="2629" w:hanging="480"/>
      </w:pPr>
    </w:lvl>
    <w:lvl w:ilvl="4" w:tentative="0">
      <w:start w:val="1"/>
      <w:numFmt w:val="lowerLetter"/>
      <w:lvlText w:val="%5)"/>
      <w:lvlJc w:val="left"/>
      <w:pPr>
        <w:ind w:left="3109" w:hanging="480"/>
      </w:pPr>
    </w:lvl>
    <w:lvl w:ilvl="5" w:tentative="0">
      <w:start w:val="1"/>
      <w:numFmt w:val="lowerRoman"/>
      <w:lvlText w:val="%6."/>
      <w:lvlJc w:val="right"/>
      <w:pPr>
        <w:ind w:left="3589" w:hanging="480"/>
      </w:pPr>
    </w:lvl>
    <w:lvl w:ilvl="6" w:tentative="0">
      <w:start w:val="1"/>
      <w:numFmt w:val="decimal"/>
      <w:lvlText w:val="%7."/>
      <w:lvlJc w:val="left"/>
      <w:pPr>
        <w:ind w:left="4069" w:hanging="480"/>
      </w:pPr>
    </w:lvl>
    <w:lvl w:ilvl="7" w:tentative="0">
      <w:start w:val="1"/>
      <w:numFmt w:val="lowerLetter"/>
      <w:lvlText w:val="%8)"/>
      <w:lvlJc w:val="left"/>
      <w:pPr>
        <w:ind w:left="4549" w:hanging="480"/>
      </w:pPr>
    </w:lvl>
    <w:lvl w:ilvl="8" w:tentative="0">
      <w:start w:val="1"/>
      <w:numFmt w:val="lowerRoman"/>
      <w:lvlText w:val="%9."/>
      <w:lvlJc w:val="right"/>
      <w:pPr>
        <w:ind w:left="5029" w:hanging="480"/>
      </w:p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3C3"/>
    <w:rsid w:val="000A5A96"/>
    <w:rsid w:val="000A76F7"/>
    <w:rsid w:val="000E3915"/>
    <w:rsid w:val="000F4DFC"/>
    <w:rsid w:val="00171072"/>
    <w:rsid w:val="001D0441"/>
    <w:rsid w:val="001D1774"/>
    <w:rsid w:val="00254907"/>
    <w:rsid w:val="00264BA2"/>
    <w:rsid w:val="00265412"/>
    <w:rsid w:val="002B5049"/>
    <w:rsid w:val="002F454A"/>
    <w:rsid w:val="003E2ED1"/>
    <w:rsid w:val="00427E73"/>
    <w:rsid w:val="00495E16"/>
    <w:rsid w:val="004D1B57"/>
    <w:rsid w:val="00511CBF"/>
    <w:rsid w:val="00645A20"/>
    <w:rsid w:val="006700C3"/>
    <w:rsid w:val="006B0153"/>
    <w:rsid w:val="006C1096"/>
    <w:rsid w:val="007516CF"/>
    <w:rsid w:val="00751FA5"/>
    <w:rsid w:val="0075585C"/>
    <w:rsid w:val="00792F8B"/>
    <w:rsid w:val="00795037"/>
    <w:rsid w:val="007975AC"/>
    <w:rsid w:val="007D721D"/>
    <w:rsid w:val="008216FE"/>
    <w:rsid w:val="00825220"/>
    <w:rsid w:val="00855A75"/>
    <w:rsid w:val="008763C3"/>
    <w:rsid w:val="008846B8"/>
    <w:rsid w:val="0088769A"/>
    <w:rsid w:val="0089080A"/>
    <w:rsid w:val="00902024"/>
    <w:rsid w:val="00955ADE"/>
    <w:rsid w:val="00973D8E"/>
    <w:rsid w:val="009C13C0"/>
    <w:rsid w:val="009E6E06"/>
    <w:rsid w:val="00A44904"/>
    <w:rsid w:val="00A8456A"/>
    <w:rsid w:val="00AD04B1"/>
    <w:rsid w:val="00B42553"/>
    <w:rsid w:val="00BF32C3"/>
    <w:rsid w:val="00C33C0F"/>
    <w:rsid w:val="00C83413"/>
    <w:rsid w:val="00C902D9"/>
    <w:rsid w:val="00DE3BCE"/>
    <w:rsid w:val="00E03799"/>
    <w:rsid w:val="00E339D6"/>
    <w:rsid w:val="00E830C7"/>
    <w:rsid w:val="00ED4D92"/>
    <w:rsid w:val="00F33A96"/>
    <w:rsid w:val="00F35AB1"/>
    <w:rsid w:val="00FD39FD"/>
    <w:rsid w:val="05E8053C"/>
    <w:rsid w:val="5A1D5B20"/>
    <w:rsid w:val="705534F8"/>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8"/>
    <w:unhideWhenUsed/>
    <w:uiPriority w:val="99"/>
    <w:rPr>
      <w:rFonts w:ascii="Heiti SC Light" w:eastAsia="Heiti SC Light"/>
      <w:sz w:val="18"/>
      <w:szCs w:val="18"/>
    </w:rPr>
  </w:style>
  <w:style w:type="character" w:styleId="4">
    <w:name w:val="Strong"/>
    <w:basedOn w:val="3"/>
    <w:qFormat/>
    <w:uiPriority w:val="22"/>
    <w:rPr>
      <w:b/>
      <w:bCs/>
    </w:rPr>
  </w:style>
  <w:style w:type="character" w:styleId="5">
    <w:name w:val="Hyperlink"/>
    <w:basedOn w:val="3"/>
    <w:unhideWhenUsed/>
    <w:qFormat/>
    <w:uiPriority w:val="99"/>
    <w:rPr>
      <w:color w:val="0000FF" w:themeColor="hyperlink"/>
      <w:u w:val="single"/>
      <w14:textFill>
        <w14:solidFill>
          <w14:schemeClr w14:val="hlink"/>
        </w14:solidFill>
      </w14:textFill>
    </w:rPr>
  </w:style>
  <w:style w:type="paragraph" w:customStyle="1" w:styleId="7">
    <w:name w:val="List Paragraph"/>
    <w:basedOn w:val="1"/>
    <w:qFormat/>
    <w:uiPriority w:val="34"/>
    <w:pPr>
      <w:ind w:firstLine="420" w:firstLineChars="200"/>
    </w:pPr>
  </w:style>
  <w:style w:type="character" w:customStyle="1" w:styleId="8">
    <w:name w:val="批注框文本 Char"/>
    <w:basedOn w:val="3"/>
    <w:link w:val="2"/>
    <w:semiHidden/>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408</Words>
  <Characters>2329</Characters>
  <Lines>19</Lines>
  <Paragraphs>5</Paragraphs>
  <TotalTime>0</TotalTime>
  <ScaleCrop>false</ScaleCrop>
  <LinksUpToDate>false</LinksUpToDate>
  <CharactersWithSpaces>2732</CharactersWithSpaces>
  <Application>WPS Office_10.1.0.6205_F1E327BC-269C-435d-A152-05C5408002CA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2015-02-06T07:25:00Z</dcterms:created>
  <dc:creator>张璐</dc:creator>
  <cp:lastModifiedBy>Administrator</cp:lastModifiedBy>
  <dcterms:modified xsi:type="dcterms:W3CDTF">2017-11-03T06:54:47Z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2052-10.1.0.6205</vt:lpwstr>
  </property>
</Properties>
</file>